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АБРАМОВА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МАРИНА ВАЛЕРЬЕВНА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1 апреля 1969 года в городе Дебрецен республики Венгрия.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среднее профессиональное, окончила Читинский кооперативный техникум в 1988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офис-менеджер в обществе с ограниченной ответственностью «Липка».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Выдвинута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Социалистической политической партии «</w:t>
      </w:r>
      <w:r>
        <w:rPr>
          <w:rFonts w:cs="Times New Roman" w:ascii="Times New Roman" w:hAnsi="Times New Roman"/>
          <w:b/>
          <w:bCs/>
          <w:sz w:val="28"/>
          <w:szCs w:val="28"/>
        </w:rPr>
        <w:t>СПРАВЕДЛИВАЯ РОССИЯ — ПАТРИТОТЫ — ЗА ПРАВДУ</w:t>
      </w:r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«Липка»,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«Чорон»,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П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убличное акционерное общество Сбербанк — 387645,71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земельный участок, Липецкая область, 712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жилой дом, Липецкая область, 99,1 кв.м.;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15 счетов, на общую сумму - 10720 руб.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9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Application>LibreOffice/7.5.1.2$Windows_X86_64 LibreOffice_project/fcbaee479e84c6cd81291587d2ee68cba099e129</Application>
  <AppVersion>15.0000</AppVersion>
  <Pages>1</Pages>
  <Words>145</Words>
  <Characters>1035</Characters>
  <CharactersWithSpaces>1168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2025-09-04T14:34:34Z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